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DA7C29" w:rsidRDefault="00DA7C29" w:rsidP="00DA7C29">
      <w:pPr>
        <w:pStyle w:val="BodyTextIndent"/>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rsidR="00DA7C29" w:rsidRPr="00DA7C29" w:rsidRDefault="00DA7C29" w:rsidP="00DA7C29">
      <w:pPr>
        <w:pStyle w:val="BodyTextIndent"/>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rsidR="00DA7C29" w:rsidRPr="00DA7C29" w:rsidRDefault="00DA7C29" w:rsidP="00DA7C29">
      <w:pPr>
        <w:pStyle w:val="BodyTextIndent"/>
        <w:spacing w:line="240" w:lineRule="auto"/>
        <w:jc w:val="center"/>
        <w:rPr>
          <w:rFonts w:ascii="GHEA Grapalat" w:hAnsi="GHEA Grapalat" w:cs="GHEA Grapalat"/>
          <w:b/>
          <w:sz w:val="24"/>
        </w:rPr>
      </w:pPr>
    </w:p>
    <w:p w:rsidR="00DA7C29" w:rsidRPr="00DA7C29" w:rsidRDefault="00DA7C29" w:rsidP="00DA7C29">
      <w:pPr>
        <w:pStyle w:val="BodyTextIndent"/>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w:t>
      </w:r>
      <w:r w:rsidR="00E00653" w:rsidRPr="00E55F55">
        <w:rPr>
          <w:rFonts w:ascii="GHEA Grapalat" w:hAnsi="GHEA Grapalat" w:cs="GHEA Grapalat"/>
          <w:b/>
          <w:sz w:val="24"/>
        </w:rPr>
        <w:t>urgent closed targeted</w:t>
      </w:r>
      <w:r w:rsidR="00E00653">
        <w:rPr>
          <w:rFonts w:ascii="GHEA Grapalat" w:hAnsi="GHEA Grapalat" w:cs="GHEA Grapalat"/>
          <w:sz w:val="24"/>
        </w:rPr>
        <w:t xml:space="preserve"> tender</w:t>
      </w:r>
      <w:r w:rsidRPr="00DA7C29">
        <w:rPr>
          <w:rFonts w:ascii="GHEA Grapalat" w:hAnsi="GHEA Grapalat" w:cs="GHEA Grapalat"/>
          <w:sz w:val="24"/>
        </w:rPr>
        <w:t xml:space="preserve"> No 1 of </w:t>
      </w:r>
      <w:r w:rsidR="000E0066">
        <w:rPr>
          <w:rFonts w:ascii="GHEA Grapalat" w:hAnsi="GHEA Grapalat" w:cs="GHEA Grapalat"/>
          <w:b/>
          <w:color w:val="FF0000"/>
          <w:sz w:val="24"/>
          <w:lang w:val="en-US"/>
        </w:rPr>
        <w:t>15</w:t>
      </w:r>
      <w:r w:rsidRPr="00DA7C29">
        <w:rPr>
          <w:rFonts w:ascii="GHEA Grapalat" w:hAnsi="GHEA Grapalat" w:cs="GHEA Grapalat"/>
          <w:b/>
          <w:color w:val="FF0000"/>
          <w:sz w:val="24"/>
        </w:rPr>
        <w:t>.</w:t>
      </w:r>
      <w:r w:rsidR="00083E5D">
        <w:rPr>
          <w:rFonts w:ascii="GHEA Grapalat" w:hAnsi="GHEA Grapalat" w:cs="GHEA Grapalat"/>
          <w:b/>
          <w:color w:val="FF0000"/>
          <w:sz w:val="24"/>
        </w:rPr>
        <w:t>0</w:t>
      </w:r>
      <w:r w:rsidR="000E0066">
        <w:rPr>
          <w:rFonts w:ascii="GHEA Grapalat" w:hAnsi="GHEA Grapalat" w:cs="GHEA Grapalat"/>
          <w:b/>
          <w:color w:val="FF0000"/>
          <w:sz w:val="24"/>
        </w:rPr>
        <w:t>3</w:t>
      </w:r>
      <w:r w:rsidRPr="00DA7C29">
        <w:rPr>
          <w:rFonts w:ascii="GHEA Grapalat" w:hAnsi="GHEA Grapalat" w:cs="GHEA Grapalat"/>
          <w:b/>
          <w:color w:val="FF0000"/>
          <w:sz w:val="24"/>
        </w:rPr>
        <w:t>.</w:t>
      </w:r>
      <w:r w:rsidR="00083E5D">
        <w:rPr>
          <w:rFonts w:ascii="GHEA Grapalat" w:hAnsi="GHEA Grapalat" w:cs="GHEA Grapalat"/>
          <w:b/>
          <w:color w:val="FF0000"/>
          <w:sz w:val="24"/>
        </w:rPr>
        <w:t>202</w:t>
      </w:r>
      <w:r w:rsidR="00E866D0">
        <w:rPr>
          <w:rFonts w:ascii="GHEA Grapalat" w:hAnsi="GHEA Grapalat" w:cs="GHEA Grapalat"/>
          <w:b/>
          <w:color w:val="FF0000"/>
          <w:sz w:val="24"/>
        </w:rPr>
        <w:t>4</w:t>
      </w:r>
      <w:r w:rsidRPr="00DA7C29">
        <w:rPr>
          <w:rFonts w:ascii="GHEA Grapalat" w:hAnsi="GHEA Grapalat" w:cs="GHEA Grapalat"/>
          <w:sz w:val="24"/>
        </w:rPr>
        <w:t xml:space="preserve"> and is </w:t>
      </w:r>
      <w:proofErr w:type="spellStart"/>
      <w:r w:rsidRPr="00DA7C29">
        <w:rPr>
          <w:rFonts w:ascii="GHEA Grapalat" w:hAnsi="GHEA Grapalat" w:cs="GHEA Grapalat"/>
          <w:sz w:val="24"/>
        </w:rPr>
        <w:t>publishedpursuant</w:t>
      </w:r>
      <w:proofErr w:type="spellEnd"/>
      <w:r w:rsidRPr="00DA7C29">
        <w:rPr>
          <w:rFonts w:ascii="GHEA Grapalat" w:hAnsi="GHEA Grapalat" w:cs="GHEA Grapalat"/>
          <w:sz w:val="24"/>
        </w:rPr>
        <w:t xml:space="preserve">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rsidR="00DA7C29" w:rsidRPr="00DA7C29" w:rsidRDefault="00DA7C29" w:rsidP="00DA7C29">
      <w:pPr>
        <w:pStyle w:val="BodyTextIndent"/>
        <w:spacing w:line="276" w:lineRule="auto"/>
        <w:jc w:val="center"/>
        <w:rPr>
          <w:rFonts w:ascii="GHEA Grapalat" w:hAnsi="GHEA Grapalat" w:cs="GHEA Grapalat"/>
          <w:sz w:val="24"/>
        </w:rPr>
      </w:pPr>
    </w:p>
    <w:p w:rsidR="00DA7C29" w:rsidRPr="00DA7C29" w:rsidRDefault="00DA7C29" w:rsidP="00DA7C29">
      <w:pPr>
        <w:pStyle w:val="BodyTextIndent"/>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w:t>
      </w:r>
      <w:r w:rsidR="00E866D0">
        <w:rPr>
          <w:rFonts w:ascii="GHEA Grapalat" w:hAnsi="GHEA Grapalat" w:cs="GHEA Grapalat"/>
          <w:b/>
          <w:color w:val="FF0000"/>
          <w:sz w:val="24"/>
        </w:rPr>
        <w:t>HPNMKHTSDZB-</w:t>
      </w:r>
      <w:r w:rsidR="000E0066">
        <w:rPr>
          <w:rFonts w:ascii="GHEA Grapalat" w:hAnsi="GHEA Grapalat" w:cs="GHEA Grapalat"/>
          <w:b/>
          <w:color w:val="FF0000"/>
          <w:sz w:val="24"/>
        </w:rPr>
        <w:t>24-10/7</w:t>
      </w:r>
      <w:r w:rsidRPr="00DA7C29">
        <w:rPr>
          <w:rFonts w:ascii="GHEA Grapalat" w:hAnsi="GHEA Grapalat" w:cs="GHEA Grapalat"/>
          <w:color w:val="FF0000"/>
          <w:sz w:val="24"/>
        </w:rPr>
        <w:t>"</w:t>
      </w:r>
    </w:p>
    <w:p w:rsidR="00DA7C29" w:rsidRPr="00DA7C29" w:rsidRDefault="00DA7C29" w:rsidP="00DA7C29">
      <w:pPr>
        <w:pStyle w:val="BodyTextIndent"/>
        <w:spacing w:line="276" w:lineRule="auto"/>
        <w:jc w:val="center"/>
        <w:rPr>
          <w:rFonts w:ascii="GHEA Grapalat" w:hAnsi="GHEA Grapalat" w:cs="GHEA Grapalat"/>
          <w:b/>
          <w:sz w:val="24"/>
        </w:rPr>
      </w:pPr>
    </w:p>
    <w:p w:rsidR="00DA7C29" w:rsidRPr="00DA7C29" w:rsidRDefault="00DA7C29" w:rsidP="00DA7C29">
      <w:pPr>
        <w:pStyle w:val="BodyTextIndent"/>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rsidR="00DA7C29" w:rsidRPr="00DA7C29" w:rsidRDefault="00DA7C29" w:rsidP="00DA7C29">
      <w:pPr>
        <w:pStyle w:val="BodyTextIndent"/>
        <w:spacing w:after="160"/>
        <w:jc w:val="center"/>
        <w:rPr>
          <w:rFonts w:ascii="GHEA Grapalat" w:hAnsi="GHEA Grapalat"/>
          <w:i w:val="0"/>
          <w:sz w:val="28"/>
        </w:rPr>
      </w:pPr>
      <w:r w:rsidRPr="00DA7C29">
        <w:rPr>
          <w:rFonts w:ascii="GHEA Grapalat" w:hAnsi="GHEA Grapalat" w:cs="GHEA Grapalat"/>
          <w:sz w:val="24"/>
        </w:rPr>
        <w:t xml:space="preserve">1. The customer- the Ministry of </w:t>
      </w:r>
      <w:proofErr w:type="spellStart"/>
      <w:r w:rsidRPr="00DA7C29">
        <w:rPr>
          <w:rFonts w:ascii="GHEA Grapalat" w:hAnsi="GHEA Grapalat" w:cs="GHEA Grapalat"/>
          <w:sz w:val="24"/>
        </w:rPr>
        <w:t>Defense</w:t>
      </w:r>
      <w:proofErr w:type="spellEnd"/>
      <w:r w:rsidRPr="00DA7C29">
        <w:rPr>
          <w:rFonts w:ascii="GHEA Grapalat" w:hAnsi="GHEA Grapalat" w:cs="GHEA Grapalat"/>
          <w:sz w:val="24"/>
        </w:rPr>
        <w:t xml:space="preserve"> of the Republic of Armenia (</w:t>
      </w:r>
      <w:proofErr w:type="spellStart"/>
      <w:r w:rsidRPr="00DA7C29">
        <w:rPr>
          <w:rFonts w:ascii="GHEA Grapalat" w:hAnsi="GHEA Grapalat" w:cs="GHEA Grapalat"/>
          <w:sz w:val="24"/>
        </w:rPr>
        <w:t>Bagrevand</w:t>
      </w:r>
      <w:proofErr w:type="spellEnd"/>
      <w:r w:rsidRPr="00DA7C29">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rsidR="0009597A" w:rsidRPr="00622308" w:rsidRDefault="0009597A" w:rsidP="00DA7C29">
      <w:pPr>
        <w:pStyle w:val="BodyTextIndent"/>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rsidR="00DA7C29" w:rsidRPr="00DA7C29" w:rsidRDefault="00DA7C29" w:rsidP="00DA7C29">
      <w:pPr>
        <w:pStyle w:val="BodyTextIndent"/>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601B2A" w:rsidRDefault="00DA7C29" w:rsidP="00DA7C29">
      <w:pPr>
        <w:spacing w:line="276" w:lineRule="auto"/>
        <w:ind w:firstLine="284"/>
        <w:jc w:val="both"/>
        <w:rPr>
          <w:rFonts w:ascii="GHEA Grapalat" w:hAnsi="GHEA Grapalat" w:cs="GHEA Grapalat"/>
          <w:b/>
          <w:color w:val="7030A0"/>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Pr="00601B2A">
        <w:rPr>
          <w:rFonts w:ascii="GHEA Grapalat" w:hAnsi="GHEA Grapalat" w:cs="GHEA Grapalat"/>
          <w:b/>
          <w:color w:val="7030A0"/>
          <w:szCs w:val="20"/>
        </w:rPr>
        <w:t xml:space="preserve">must </w:t>
      </w:r>
    </w:p>
    <w:p w:rsidR="00212C4D" w:rsidRDefault="00DA7C29" w:rsidP="00DA7C29">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proofErr w:type="gramStart"/>
      <w:r w:rsidR="00083E5D" w:rsidRPr="00364303">
        <w:rPr>
          <w:rFonts w:ascii="GHEA Grapalat" w:hAnsi="GHEA Grapalat"/>
          <w:b/>
          <w:color w:val="FF0000"/>
        </w:rPr>
        <w:t>have</w:t>
      </w:r>
      <w:proofErr w:type="gramEnd"/>
      <w:r w:rsidR="00083E5D" w:rsidRPr="00364303">
        <w:rPr>
          <w:rFonts w:ascii="GHEA Grapalat" w:hAnsi="GHEA Grapalat"/>
          <w:b/>
          <w:color w:val="FF0000"/>
        </w:rPr>
        <w:t xml:space="preserve"> the license for the following fields</w:t>
      </w:r>
      <w:r w:rsidR="00083E5D">
        <w:rPr>
          <w:rFonts w:ascii="GHEA Grapalat" w:hAnsi="GHEA Grapalat"/>
          <w:b/>
          <w:color w:val="FF0000"/>
        </w:rPr>
        <w:t xml:space="preserve"> </w:t>
      </w:r>
    </w:p>
    <w:p w:rsidR="000E0066" w:rsidRDefault="000E0066" w:rsidP="000E0066">
      <w:pPr>
        <w:spacing w:line="276" w:lineRule="auto"/>
        <w:ind w:firstLine="284"/>
        <w:jc w:val="both"/>
        <w:rPr>
          <w:rFonts w:ascii="GHEA Grapalat" w:hAnsi="GHEA Grapalat"/>
          <w:b/>
          <w:color w:val="FF0000"/>
        </w:rPr>
      </w:pPr>
      <w:r>
        <w:rPr>
          <w:rFonts w:ascii="GHEA Grapalat" w:hAnsi="GHEA Grapalat"/>
          <w:b/>
          <w:color w:val="FF0000"/>
        </w:rPr>
        <w:t xml:space="preserve">- </w:t>
      </w:r>
      <w:r w:rsidRPr="00BD38AE">
        <w:rPr>
          <w:rFonts w:ascii="GHEA Grapalat" w:hAnsi="GHEA Grapalat"/>
          <w:b/>
          <w:color w:val="00B0F0"/>
        </w:rPr>
        <w:t>Residential, public, industria</w:t>
      </w:r>
      <w:r>
        <w:rPr>
          <w:rFonts w:ascii="GHEA Grapalat" w:hAnsi="GHEA Grapalat"/>
          <w:b/>
          <w:color w:val="00B0F0"/>
        </w:rPr>
        <w:t>l”, “Energy”, “</w:t>
      </w:r>
      <w:proofErr w:type="spellStart"/>
      <w:r>
        <w:rPr>
          <w:rFonts w:ascii="GHEA Grapalat" w:hAnsi="GHEA Grapalat"/>
          <w:b/>
          <w:color w:val="00B0F0"/>
        </w:rPr>
        <w:t>Hydrotechnical</w:t>
      </w:r>
      <w:proofErr w:type="spellEnd"/>
      <w:r>
        <w:rPr>
          <w:rFonts w:ascii="GHEA Grapalat" w:hAnsi="GHEA Grapalat"/>
          <w:b/>
          <w:color w:val="00B0F0"/>
        </w:rPr>
        <w:t>”, “Transport</w:t>
      </w:r>
      <w:r w:rsidRPr="00BD38AE">
        <w:rPr>
          <w:rFonts w:ascii="GHEA Grapalat" w:hAnsi="GHEA Grapalat"/>
          <w:b/>
          <w:color w:val="00B0F0"/>
        </w:rPr>
        <w:t>”</w:t>
      </w:r>
      <w:r>
        <w:rPr>
          <w:rFonts w:ascii="GHEA Grapalat" w:hAnsi="GHEA Grapalat"/>
          <w:b/>
          <w:color w:val="00B0F0"/>
        </w:rPr>
        <w:t xml:space="preserve"> </w:t>
      </w:r>
    </w:p>
    <w:p w:rsidR="000E0066" w:rsidRDefault="000E0066" w:rsidP="00DA7C29">
      <w:pPr>
        <w:spacing w:line="276" w:lineRule="auto"/>
        <w:ind w:firstLine="284"/>
        <w:jc w:val="both"/>
        <w:rPr>
          <w:rFonts w:ascii="GHEA Grapalat" w:hAnsi="GHEA Grapalat"/>
          <w:b/>
          <w:color w:val="FF0000"/>
        </w:rPr>
      </w:pPr>
    </w:p>
    <w:p w:rsidR="000E0066" w:rsidRDefault="000E0066" w:rsidP="000E0066">
      <w:pPr>
        <w:spacing w:line="276" w:lineRule="auto"/>
        <w:ind w:firstLine="284"/>
        <w:jc w:val="both"/>
        <w:rPr>
          <w:rFonts w:ascii="GHEA Grapalat" w:hAnsi="GHEA Grapalat"/>
          <w:b/>
          <w:color w:val="FF0000"/>
        </w:rPr>
      </w:pPr>
      <w:proofErr w:type="gramStart"/>
      <w:r w:rsidRPr="00364303">
        <w:rPr>
          <w:rFonts w:ascii="GHEA Grapalat" w:hAnsi="GHEA Grapalat"/>
          <w:b/>
          <w:color w:val="FF0000"/>
        </w:rPr>
        <w:t>have</w:t>
      </w:r>
      <w:proofErr w:type="gramEnd"/>
      <w:r w:rsidRPr="00364303">
        <w:rPr>
          <w:rFonts w:ascii="GHEA Grapalat" w:hAnsi="GHEA Grapalat"/>
          <w:b/>
          <w:color w:val="FF0000"/>
        </w:rPr>
        <w:t xml:space="preserve"> the license for the following fields</w:t>
      </w:r>
      <w:r>
        <w:rPr>
          <w:rFonts w:ascii="GHEA Grapalat" w:hAnsi="GHEA Grapalat"/>
          <w:b/>
          <w:color w:val="FF0000"/>
        </w:rPr>
        <w:t xml:space="preserve"> </w:t>
      </w:r>
    </w:p>
    <w:p w:rsidR="000E0066" w:rsidRDefault="000E0066" w:rsidP="000E0066">
      <w:pPr>
        <w:spacing w:line="276" w:lineRule="auto"/>
        <w:ind w:firstLine="284"/>
        <w:jc w:val="both"/>
        <w:rPr>
          <w:rFonts w:ascii="GHEA Grapalat" w:hAnsi="GHEA Grapalat"/>
          <w:b/>
          <w:color w:val="00B0F0"/>
        </w:rPr>
      </w:pPr>
      <w:r>
        <w:rPr>
          <w:rFonts w:ascii="GHEA Grapalat" w:hAnsi="GHEA Grapalat"/>
          <w:b/>
          <w:color w:val="00B0F0"/>
        </w:rPr>
        <w:t xml:space="preserve"> “Transport</w:t>
      </w:r>
      <w:proofErr w:type="gramStart"/>
      <w:r w:rsidRPr="00BD38AE">
        <w:rPr>
          <w:rFonts w:ascii="GHEA Grapalat" w:hAnsi="GHEA Grapalat"/>
          <w:b/>
          <w:color w:val="00B0F0"/>
        </w:rPr>
        <w:t>”</w:t>
      </w:r>
      <w:r>
        <w:rPr>
          <w:rFonts w:ascii="GHEA Grapalat" w:hAnsi="GHEA Grapalat"/>
          <w:b/>
          <w:color w:val="00B0F0"/>
        </w:rPr>
        <w:t xml:space="preserve"> </w:t>
      </w:r>
      <w:r>
        <w:rPr>
          <w:rFonts w:ascii="GHEA Grapalat" w:hAnsi="GHEA Grapalat"/>
          <w:b/>
          <w:color w:val="00B0F0"/>
        </w:rPr>
        <w:t>,</w:t>
      </w:r>
      <w:proofErr w:type="gramEnd"/>
      <w:r>
        <w:rPr>
          <w:rFonts w:ascii="GHEA Grapalat" w:hAnsi="GHEA Grapalat"/>
          <w:b/>
          <w:color w:val="00B0F0"/>
        </w:rPr>
        <w:t xml:space="preserve"> </w:t>
      </w:r>
    </w:p>
    <w:p w:rsidR="000E0066" w:rsidRDefault="000E0066" w:rsidP="000E0066">
      <w:pPr>
        <w:spacing w:line="276" w:lineRule="auto"/>
        <w:ind w:firstLine="284"/>
        <w:jc w:val="both"/>
        <w:rPr>
          <w:rFonts w:ascii="GHEA Grapalat" w:hAnsi="GHEA Grapalat"/>
          <w:b/>
          <w:color w:val="FF0000"/>
        </w:rPr>
      </w:pPr>
    </w:p>
    <w:p w:rsidR="000E0066" w:rsidRDefault="000E0066" w:rsidP="000E0066">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proofErr w:type="gramStart"/>
      <w:r w:rsidRPr="00364303">
        <w:rPr>
          <w:rFonts w:ascii="GHEA Grapalat" w:hAnsi="GHEA Grapalat"/>
          <w:b/>
          <w:color w:val="FF0000"/>
        </w:rPr>
        <w:t>have</w:t>
      </w:r>
      <w:proofErr w:type="gramEnd"/>
      <w:r w:rsidRPr="00364303">
        <w:rPr>
          <w:rFonts w:ascii="GHEA Grapalat" w:hAnsi="GHEA Grapalat"/>
          <w:b/>
          <w:color w:val="FF0000"/>
        </w:rPr>
        <w:t xml:space="preserve"> the license for the following fields</w:t>
      </w:r>
      <w:r>
        <w:rPr>
          <w:rFonts w:ascii="GHEA Grapalat" w:hAnsi="GHEA Grapalat"/>
          <w:b/>
          <w:color w:val="FF0000"/>
        </w:rPr>
        <w:t xml:space="preserve"> </w:t>
      </w:r>
    </w:p>
    <w:p w:rsidR="000E0066" w:rsidRDefault="000E0066" w:rsidP="000E0066">
      <w:pPr>
        <w:spacing w:line="276" w:lineRule="auto"/>
        <w:ind w:firstLine="284"/>
        <w:jc w:val="both"/>
        <w:rPr>
          <w:rFonts w:ascii="GHEA Grapalat" w:hAnsi="GHEA Grapalat"/>
          <w:b/>
          <w:color w:val="FF0000"/>
        </w:rPr>
      </w:pPr>
      <w:r>
        <w:rPr>
          <w:rFonts w:ascii="GHEA Grapalat" w:hAnsi="GHEA Grapalat"/>
          <w:b/>
          <w:color w:val="FF0000"/>
        </w:rPr>
        <w:t xml:space="preserve">- </w:t>
      </w:r>
      <w:r w:rsidRPr="00BD38AE">
        <w:rPr>
          <w:rFonts w:ascii="GHEA Grapalat" w:hAnsi="GHEA Grapalat"/>
          <w:b/>
          <w:color w:val="00B0F0"/>
        </w:rPr>
        <w:t>Residential, public, industria</w:t>
      </w:r>
      <w:r>
        <w:rPr>
          <w:rFonts w:ascii="GHEA Grapalat" w:hAnsi="GHEA Grapalat"/>
          <w:b/>
          <w:color w:val="00B0F0"/>
        </w:rPr>
        <w:t>l”, “Energy”, “</w:t>
      </w:r>
      <w:proofErr w:type="spellStart"/>
      <w:r>
        <w:rPr>
          <w:rFonts w:ascii="GHEA Grapalat" w:hAnsi="GHEA Grapalat"/>
          <w:b/>
          <w:color w:val="00B0F0"/>
        </w:rPr>
        <w:t>Hydrotechnical</w:t>
      </w:r>
      <w:proofErr w:type="spellEnd"/>
      <w:r>
        <w:rPr>
          <w:rFonts w:ascii="GHEA Grapalat" w:hAnsi="GHEA Grapalat"/>
          <w:b/>
          <w:color w:val="00B0F0"/>
        </w:rPr>
        <w:t xml:space="preserve">”, </w:t>
      </w:r>
    </w:p>
    <w:p w:rsidR="000E0066" w:rsidRDefault="000E0066" w:rsidP="000E0066">
      <w:pPr>
        <w:spacing w:line="276" w:lineRule="auto"/>
        <w:ind w:firstLine="284"/>
        <w:jc w:val="both"/>
        <w:rPr>
          <w:rFonts w:ascii="GHEA Grapalat" w:hAnsi="GHEA Grapalat"/>
          <w:b/>
          <w:color w:val="FF0000"/>
        </w:rPr>
      </w:pPr>
    </w:p>
    <w:p w:rsidR="000E0066" w:rsidRDefault="000E0066" w:rsidP="00DA7C29">
      <w:pPr>
        <w:spacing w:line="276" w:lineRule="auto"/>
        <w:ind w:firstLine="284"/>
        <w:jc w:val="both"/>
        <w:rPr>
          <w:rFonts w:ascii="GHEA Grapalat" w:hAnsi="GHEA Grapalat"/>
          <w:b/>
          <w:color w:val="FF0000"/>
        </w:rPr>
      </w:pPr>
    </w:p>
    <w:p w:rsidR="007D69BC" w:rsidRDefault="00083E5D" w:rsidP="000E0066">
      <w:pPr>
        <w:spacing w:line="276" w:lineRule="auto"/>
        <w:ind w:firstLine="284"/>
        <w:jc w:val="both"/>
        <w:rPr>
          <w:rFonts w:ascii="GHEA Grapalat" w:hAnsi="GHEA Grapalat"/>
          <w:b/>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proofErr w:type="gramStart"/>
      <w:r w:rsidRPr="00D84D15">
        <w:rPr>
          <w:rFonts w:ascii="GHEA Grapalat" w:hAnsi="GHEA Grapalat"/>
        </w:rPr>
        <w:t>meet</w:t>
      </w:r>
      <w:proofErr w:type="gramEnd"/>
      <w:r w:rsidRPr="00D84D15">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0E0066" w:rsidRPr="00083E5D">
        <w:rPr>
          <w:rFonts w:ascii="GHEA Grapalat" w:hAnsi="GHEA Grapalat"/>
          <w:color w:val="FF0000"/>
        </w:rPr>
        <w:t>-</w:t>
      </w:r>
      <w:r w:rsidR="000E0066" w:rsidRPr="000E0066">
        <w:rPr>
          <w:rFonts w:ascii="GHEA Grapalat" w:hAnsi="GHEA Grapalat"/>
          <w:b/>
          <w:color w:val="00B0F0"/>
        </w:rPr>
        <w:t xml:space="preserve"> </w:t>
      </w:r>
      <w:r w:rsidR="000E0066" w:rsidRPr="00BD38AE">
        <w:rPr>
          <w:rFonts w:ascii="GHEA Grapalat" w:hAnsi="GHEA Grapalat"/>
          <w:b/>
          <w:color w:val="00B0F0"/>
        </w:rPr>
        <w:t>Residential, public, industria</w:t>
      </w:r>
      <w:r w:rsidR="000E0066">
        <w:rPr>
          <w:rFonts w:ascii="GHEA Grapalat" w:hAnsi="GHEA Grapalat"/>
          <w:b/>
          <w:color w:val="00B0F0"/>
        </w:rPr>
        <w:t>l”, “Energy”, “</w:t>
      </w:r>
      <w:proofErr w:type="spellStart"/>
      <w:r w:rsidR="000E0066">
        <w:rPr>
          <w:rFonts w:ascii="GHEA Grapalat" w:hAnsi="GHEA Grapalat"/>
          <w:b/>
          <w:color w:val="00B0F0"/>
        </w:rPr>
        <w:t>Hydrotechnical</w:t>
      </w:r>
      <w:proofErr w:type="spellEnd"/>
      <w:r w:rsidR="000E0066">
        <w:rPr>
          <w:rFonts w:ascii="GHEA Grapalat" w:hAnsi="GHEA Grapalat"/>
          <w:b/>
          <w:color w:val="00B0F0"/>
        </w:rPr>
        <w:t>”, “Transport</w:t>
      </w:r>
      <w:r w:rsidR="000E0066" w:rsidRPr="00BD38AE">
        <w:rPr>
          <w:rFonts w:ascii="GHEA Grapalat" w:hAnsi="GHEA Grapalat"/>
          <w:b/>
          <w:color w:val="00B0F0"/>
        </w:rPr>
        <w:t>”</w:t>
      </w:r>
      <w:r w:rsidR="000E0066">
        <w:rPr>
          <w:rFonts w:ascii="GHEA Grapalat" w:hAnsi="GHEA Grapalat"/>
          <w:b/>
          <w:color w:val="00B0F0"/>
        </w:rPr>
        <w:t xml:space="preserve"> </w:t>
      </w:r>
      <w:r w:rsidR="000E0066">
        <w:rPr>
          <w:rFonts w:ascii="GHEA Grapalat" w:hAnsi="GHEA Grapalat"/>
          <w:b/>
          <w:color w:val="00B0F0"/>
        </w:rPr>
        <w:t xml:space="preserve"> </w:t>
      </w:r>
      <w:r w:rsidR="000E0066" w:rsidRPr="003C2D71">
        <w:rPr>
          <w:rFonts w:ascii="GHEA Grapalat" w:hAnsi="GHEA Grapalat" w:cs="GHEA Grapalat"/>
          <w:b/>
        </w:rPr>
        <w:t>/</w:t>
      </w:r>
      <w:r w:rsidR="000E0066" w:rsidRPr="003C2D71">
        <w:rPr>
          <w:rFonts w:ascii="GHEA Grapalat" w:hAnsi="GHEA Grapalat"/>
          <w:b/>
        </w:rPr>
        <w:t>for some services/</w:t>
      </w:r>
      <w:r w:rsidR="000E0066">
        <w:rPr>
          <w:rFonts w:ascii="GHEA Grapalat" w:hAnsi="GHEA Grapalat"/>
          <w:b/>
        </w:rPr>
        <w:t xml:space="preserve">.  </w:t>
      </w:r>
    </w:p>
    <w:p w:rsidR="000E0066" w:rsidRDefault="000E0066" w:rsidP="000E0066">
      <w:pPr>
        <w:spacing w:line="276" w:lineRule="auto"/>
        <w:ind w:firstLine="284"/>
        <w:jc w:val="both"/>
        <w:rPr>
          <w:rFonts w:ascii="GHEA Grapalat" w:hAnsi="GHEA Grapalat"/>
          <w:b/>
        </w:rPr>
      </w:pPr>
      <w:proofErr w:type="gramStart"/>
      <w:r w:rsidRPr="00D84D15">
        <w:rPr>
          <w:rFonts w:ascii="GHEA Grapalat" w:hAnsi="GHEA Grapalat"/>
        </w:rPr>
        <w:lastRenderedPageBreak/>
        <w:t>meet</w:t>
      </w:r>
      <w:proofErr w:type="gramEnd"/>
      <w:r w:rsidRPr="00D84D15">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w:t>
      </w:r>
      <w:r>
        <w:rPr>
          <w:rFonts w:ascii="GHEA Grapalat" w:hAnsi="GHEA Grapalat"/>
          <w:b/>
          <w:color w:val="00B0F0"/>
        </w:rPr>
        <w:t xml:space="preserve"> “Transport</w:t>
      </w:r>
      <w:r w:rsidRPr="00BD38AE">
        <w:rPr>
          <w:rFonts w:ascii="GHEA Grapalat" w:hAnsi="GHEA Grapalat"/>
          <w:b/>
          <w:color w:val="00B0F0"/>
        </w:rPr>
        <w:t>”</w:t>
      </w:r>
      <w:r>
        <w:rPr>
          <w:rFonts w:ascii="GHEA Grapalat" w:hAnsi="GHEA Grapalat"/>
          <w:b/>
          <w:color w:val="00B0F0"/>
        </w:rPr>
        <w:t xml:space="preserve"> </w:t>
      </w:r>
      <w:r w:rsidRPr="003C2D71">
        <w:rPr>
          <w:rFonts w:ascii="GHEA Grapalat" w:hAnsi="GHEA Grapalat" w:cs="GHEA Grapalat"/>
          <w:b/>
        </w:rPr>
        <w:t>/</w:t>
      </w:r>
      <w:r w:rsidRPr="003C2D71">
        <w:rPr>
          <w:rFonts w:ascii="GHEA Grapalat" w:hAnsi="GHEA Grapalat"/>
          <w:b/>
        </w:rPr>
        <w:t>for some services/</w:t>
      </w:r>
      <w:r>
        <w:rPr>
          <w:rFonts w:ascii="GHEA Grapalat" w:hAnsi="GHEA Grapalat"/>
          <w:b/>
        </w:rPr>
        <w:t xml:space="preserve">.  </w:t>
      </w:r>
    </w:p>
    <w:p w:rsidR="000E0066" w:rsidRDefault="000E0066" w:rsidP="000E0066">
      <w:pPr>
        <w:spacing w:line="276" w:lineRule="auto"/>
        <w:ind w:firstLine="284"/>
        <w:jc w:val="both"/>
        <w:rPr>
          <w:rFonts w:ascii="GHEA Grapalat" w:hAnsi="GHEA Grapalat"/>
          <w:b/>
        </w:rPr>
      </w:pPr>
    </w:p>
    <w:p w:rsidR="000E0066" w:rsidRDefault="000E0066" w:rsidP="000E0066">
      <w:pPr>
        <w:spacing w:line="276" w:lineRule="auto"/>
        <w:ind w:firstLine="284"/>
        <w:jc w:val="both"/>
        <w:rPr>
          <w:rFonts w:ascii="GHEA Grapalat" w:hAnsi="GHEA Grapalat"/>
          <w:b/>
        </w:rPr>
      </w:pPr>
      <w:proofErr w:type="gramStart"/>
      <w:r w:rsidRPr="00D84D15">
        <w:rPr>
          <w:rFonts w:ascii="GHEA Grapalat" w:hAnsi="GHEA Grapalat"/>
        </w:rPr>
        <w:t>meet</w:t>
      </w:r>
      <w:proofErr w:type="gramEnd"/>
      <w:r w:rsidRPr="00D84D15">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Pr="00083E5D">
        <w:rPr>
          <w:rFonts w:ascii="GHEA Grapalat" w:hAnsi="GHEA Grapalat"/>
          <w:color w:val="FF0000"/>
        </w:rPr>
        <w:t>-</w:t>
      </w:r>
      <w:r w:rsidRPr="000E0066">
        <w:rPr>
          <w:rFonts w:ascii="GHEA Grapalat" w:hAnsi="GHEA Grapalat"/>
          <w:b/>
          <w:color w:val="00B0F0"/>
        </w:rPr>
        <w:t xml:space="preserve"> </w:t>
      </w:r>
      <w:r w:rsidRPr="00BD38AE">
        <w:rPr>
          <w:rFonts w:ascii="GHEA Grapalat" w:hAnsi="GHEA Grapalat"/>
          <w:b/>
          <w:color w:val="00B0F0"/>
        </w:rPr>
        <w:t>Residential, public, industria</w:t>
      </w:r>
      <w:r>
        <w:rPr>
          <w:rFonts w:ascii="GHEA Grapalat" w:hAnsi="GHEA Grapalat"/>
          <w:b/>
          <w:color w:val="00B0F0"/>
        </w:rPr>
        <w:t>l”, “Energy”, “</w:t>
      </w:r>
      <w:proofErr w:type="spellStart"/>
      <w:r>
        <w:rPr>
          <w:rFonts w:ascii="GHEA Grapalat" w:hAnsi="GHEA Grapalat"/>
          <w:b/>
          <w:color w:val="00B0F0"/>
        </w:rPr>
        <w:t>Hydrotechnical</w:t>
      </w:r>
      <w:proofErr w:type="spellEnd"/>
      <w:r>
        <w:rPr>
          <w:rFonts w:ascii="GHEA Grapalat" w:hAnsi="GHEA Grapalat"/>
          <w:b/>
          <w:color w:val="00B0F0"/>
        </w:rPr>
        <w:t>”</w:t>
      </w:r>
      <w:r>
        <w:rPr>
          <w:rFonts w:ascii="GHEA Grapalat" w:hAnsi="GHEA Grapalat"/>
          <w:b/>
          <w:color w:val="00B0F0"/>
        </w:rPr>
        <w:t xml:space="preserve"> </w:t>
      </w:r>
      <w:r w:rsidRPr="003C2D71">
        <w:rPr>
          <w:rFonts w:ascii="GHEA Grapalat" w:hAnsi="GHEA Grapalat" w:cs="GHEA Grapalat"/>
          <w:b/>
        </w:rPr>
        <w:t>/</w:t>
      </w:r>
      <w:r w:rsidRPr="003C2D71">
        <w:rPr>
          <w:rFonts w:ascii="GHEA Grapalat" w:hAnsi="GHEA Grapalat"/>
          <w:b/>
        </w:rPr>
        <w:t>for some services/</w:t>
      </w:r>
      <w:r>
        <w:rPr>
          <w:rFonts w:ascii="GHEA Grapalat" w:hAnsi="GHEA Grapalat"/>
          <w:b/>
        </w:rPr>
        <w:t xml:space="preserve">.  </w:t>
      </w:r>
    </w:p>
    <w:p w:rsidR="007D69BC" w:rsidRDefault="007D69BC" w:rsidP="00083E5D">
      <w:pPr>
        <w:pStyle w:val="ListParagraph1"/>
        <w:spacing w:after="0" w:line="360" w:lineRule="auto"/>
        <w:ind w:left="0" w:right="-2"/>
        <w:jc w:val="both"/>
        <w:rPr>
          <w:rFonts w:ascii="GHEA Grapalat" w:hAnsi="GHEA Grapalat"/>
          <w:b/>
        </w:rPr>
      </w:pPr>
    </w:p>
    <w:p w:rsidR="000E0066" w:rsidRDefault="000E0066" w:rsidP="00083E5D">
      <w:pPr>
        <w:pStyle w:val="ListParagraph1"/>
        <w:spacing w:after="0" w:line="360" w:lineRule="auto"/>
        <w:ind w:left="0" w:right="-2"/>
        <w:jc w:val="both"/>
        <w:rPr>
          <w:rFonts w:ascii="GHEA Grapalat" w:hAnsi="GHEA Grapalat"/>
          <w:b/>
        </w:rPr>
      </w:pPr>
    </w:p>
    <w:p w:rsidR="00DA7C29" w:rsidRDefault="00DA7C29" w:rsidP="00DA7C29">
      <w:pPr>
        <w:spacing w:line="360" w:lineRule="auto"/>
        <w:jc w:val="both"/>
        <w:rPr>
          <w:rFonts w:ascii="GHEA Grapalat" w:hAnsi="GHEA Grapalat" w:cs="GHEA Grapalat"/>
          <w:b/>
          <w:color w:val="548DD4" w:themeColor="text2" w:themeTint="99"/>
          <w:sz w:val="20"/>
        </w:rPr>
      </w:pPr>
      <w:r w:rsidRPr="00220774">
        <w:rPr>
          <w:rFonts w:ascii="GHEA Grapalat" w:hAnsi="GHEA Grapalat" w:cs="GHEA Grapalat"/>
        </w:rPr>
        <w:t xml:space="preserve">The bidder is considered to meet the qualification criteria provided for in this </w:t>
      </w:r>
      <w:proofErr w:type="spellStart"/>
      <w:r w:rsidRPr="00220774">
        <w:rPr>
          <w:rFonts w:ascii="GHEA Grapalat" w:hAnsi="GHEA Grapalat" w:cs="GHEA Grapalat"/>
        </w:rPr>
        <w:t>subpoint</w:t>
      </w:r>
      <w:proofErr w:type="spellEnd"/>
      <w:r w:rsidRPr="00220774">
        <w:rPr>
          <w:rFonts w:ascii="GHEA Grapalat" w:hAnsi="GHEA Grapalat" w:cs="GHEA Grapalat"/>
        </w:rPr>
        <w:t>, if it has submitted the required information in the application.</w:t>
      </w:r>
    </w:p>
    <w:p w:rsidR="0009597A" w:rsidRPr="00603541" w:rsidRDefault="0009597A" w:rsidP="00DA7C29">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0037225B" w:rsidRPr="0037225B">
        <w:rPr>
          <w:rFonts w:ascii="GHEA Grapalat" w:hAnsi="GHEA Grapalat"/>
          <w:i w:val="0"/>
          <w:sz w:val="24"/>
        </w:rPr>
        <w:tab/>
      </w:r>
      <w:r w:rsidRPr="0037225B">
        <w:rPr>
          <w:rFonts w:ascii="GHEA Grapalat" w:hAnsi="GHEA Grapalat"/>
          <w:i w:val="0"/>
          <w:sz w:val="24"/>
        </w:rPr>
        <w:t xml:space="preserve">While conducting the </w:t>
      </w:r>
      <w:r w:rsidR="00E00653">
        <w:rPr>
          <w:rFonts w:ascii="GHEA Grapalat" w:hAnsi="GHEA Grapalat"/>
          <w:i w:val="0"/>
          <w:sz w:val="24"/>
        </w:rPr>
        <w:t>urgent closed targeted tender</w:t>
      </w:r>
      <w:r w:rsidRPr="0037225B">
        <w:rPr>
          <w:rFonts w:ascii="GHEA Grapalat" w:hAnsi="GHEA Grapalat"/>
          <w:i w:val="0"/>
          <w:sz w:val="24"/>
        </w:rPr>
        <w:t>,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7E689D"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DA29EB" w:rsidRDefault="0037225B"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DA29EB" w:rsidRDefault="00BC29E5"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 xml:space="preserve">Clarification is not provided if the request was made in violation of the term established by this section, as well as if the request is outside the scope of the content of this statement. Moreover, the participant is notified in writing about the reasons for </w:t>
      </w:r>
      <w:r w:rsidR="00AB6D42" w:rsidRPr="00DA29EB">
        <w:rPr>
          <w:rFonts w:ascii="GHEA Grapalat" w:hAnsi="GHEA Grapalat" w:cs="Times New Roman"/>
          <w:sz w:val="24"/>
          <w:szCs w:val="24"/>
          <w:lang w:val="en-GB" w:eastAsia="en-GB"/>
        </w:rPr>
        <w:lastRenderedPageBreak/>
        <w:t>not providing an explanation within two calendar days following the day of receiving the request.</w:t>
      </w:r>
    </w:p>
    <w:p w:rsidR="0009597A" w:rsidRPr="002C5B48" w:rsidRDefault="0009597A" w:rsidP="002C5B48">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DA29EB" w:rsidRDefault="0009597A" w:rsidP="00DA29EB">
      <w:pPr>
        <w:pStyle w:val="HTMLPreformatted"/>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80F6D">
        <w:rPr>
          <w:rFonts w:ascii="GHEA Grapalat" w:hAnsi="GHEA Grapalat"/>
          <w:b/>
          <w:i/>
          <w:color w:val="FF0000"/>
          <w:szCs w:val="20"/>
          <w:lang w:val="en-US"/>
        </w:rPr>
        <w:t>2</w:t>
      </w:r>
      <w:r w:rsidR="000E0066">
        <w:rPr>
          <w:rFonts w:ascii="GHEA Grapalat" w:hAnsi="GHEA Grapalat"/>
          <w:b/>
          <w:i/>
          <w:color w:val="FF0000"/>
          <w:szCs w:val="20"/>
        </w:rPr>
        <w:t>6</w:t>
      </w:r>
      <w:r w:rsidR="00380F6D">
        <w:rPr>
          <w:rFonts w:ascii="GHEA Grapalat" w:hAnsi="GHEA Grapalat"/>
          <w:b/>
          <w:i/>
          <w:color w:val="FF0000"/>
          <w:szCs w:val="20"/>
        </w:rPr>
        <w:t>.</w:t>
      </w:r>
      <w:r w:rsidR="00B139AB">
        <w:rPr>
          <w:rFonts w:ascii="GHEA Grapalat" w:hAnsi="GHEA Grapalat"/>
          <w:b/>
          <w:i/>
          <w:color w:val="FF0000"/>
          <w:szCs w:val="20"/>
        </w:rPr>
        <w:t>0</w:t>
      </w:r>
      <w:r w:rsidR="000E0066">
        <w:rPr>
          <w:rFonts w:ascii="GHEA Grapalat" w:hAnsi="GHEA Grapalat"/>
          <w:b/>
          <w:i/>
          <w:color w:val="FF0000"/>
          <w:szCs w:val="20"/>
        </w:rPr>
        <w:t>3</w:t>
      </w:r>
      <w:r w:rsidR="00E15F0D" w:rsidRPr="00DA7C29">
        <w:rPr>
          <w:rFonts w:ascii="GHEA Grapalat" w:hAnsi="GHEA Grapalat"/>
          <w:b/>
          <w:i/>
          <w:color w:val="FF0000"/>
          <w:szCs w:val="20"/>
        </w:rPr>
        <w:t>.</w:t>
      </w:r>
      <w:r w:rsidR="00083E5D">
        <w:rPr>
          <w:rFonts w:ascii="GHEA Grapalat" w:hAnsi="GHEA Grapalat"/>
          <w:b/>
          <w:i/>
          <w:color w:val="FF0000"/>
          <w:szCs w:val="20"/>
        </w:rPr>
        <w:t>202</w:t>
      </w:r>
      <w:r w:rsidR="00380F6D">
        <w:rPr>
          <w:rFonts w:ascii="GHEA Grapalat" w:hAnsi="GHEA Grapalat"/>
          <w:b/>
          <w:i/>
          <w:color w:val="FF0000"/>
          <w:szCs w:val="20"/>
        </w:rPr>
        <w:t>4</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601B2A">
        <w:rPr>
          <w:rFonts w:ascii="GHEA Grapalat" w:hAnsi="GHEA Grapalat"/>
          <w:b/>
          <w:i/>
          <w:color w:val="FF0000"/>
          <w:szCs w:val="20"/>
        </w:rPr>
        <w:t>5</w:t>
      </w:r>
      <w:r w:rsidR="00E47A1D" w:rsidRPr="00DA7C29">
        <w:rPr>
          <w:rFonts w:ascii="GHEA Grapalat" w:hAnsi="GHEA Grapalat"/>
          <w:b/>
          <w:i/>
          <w:color w:val="FF0000"/>
          <w:szCs w:val="20"/>
        </w:rPr>
        <w:t>:</w:t>
      </w:r>
      <w:r w:rsidR="000E0066">
        <w:rPr>
          <w:rFonts w:ascii="GHEA Grapalat" w:hAnsi="GHEA Grapalat"/>
          <w:b/>
          <w:i/>
          <w:color w:val="FF0000"/>
          <w:szCs w:val="20"/>
        </w:rPr>
        <w:t>0</w:t>
      </w:r>
      <w:r w:rsidR="00E47A1D" w:rsidRPr="00DA7C29">
        <w:rPr>
          <w:rFonts w:ascii="GHEA Grapalat" w:hAnsi="GHEA Grapalat"/>
          <w:b/>
          <w:i/>
          <w:color w:val="FF0000"/>
          <w:szCs w:val="20"/>
        </w:rPr>
        <w:t>0</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E37DF9" w:rsidRDefault="0009597A" w:rsidP="005B4A9C">
      <w:pPr>
        <w:spacing w:line="360" w:lineRule="auto"/>
        <w:ind w:firstLine="567"/>
        <w:jc w:val="both"/>
        <w:rPr>
          <w:rFonts w:ascii="Sylfaen" w:hAnsi="Sylfaen"/>
          <w:b/>
          <w:i/>
          <w:color w:val="FF0000"/>
          <w:szCs w:val="20"/>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lastRenderedPageBreak/>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r w:rsidR="00E37DF9" w:rsidRPr="00E37DF9">
        <w:rPr>
          <w:rFonts w:ascii="Sylfaen" w:hAnsi="Sylfaen"/>
          <w:b/>
          <w:i/>
          <w:color w:val="FF0000"/>
          <w:szCs w:val="20"/>
        </w:rPr>
        <w:t xml:space="preserve"> </w:t>
      </w:r>
    </w:p>
    <w:p w:rsidR="005B4A9C" w:rsidRDefault="00E37DF9" w:rsidP="005B4A9C">
      <w:pPr>
        <w:spacing w:line="360" w:lineRule="auto"/>
        <w:ind w:firstLine="567"/>
        <w:jc w:val="both"/>
        <w:rPr>
          <w:rFonts w:ascii="Sylfaen" w:hAnsi="Sylfaen"/>
          <w:b/>
          <w:i/>
          <w:color w:val="FF0000"/>
          <w:szCs w:val="20"/>
        </w:rPr>
      </w:pPr>
      <w:r w:rsidRPr="00B85B4C">
        <w:rPr>
          <w:rFonts w:ascii="Sylfaen" w:hAnsi="Sylfaen"/>
          <w:b/>
          <w:i/>
          <w:color w:val="FF0000"/>
          <w:szCs w:val="20"/>
        </w:rPr>
        <w:t xml:space="preserve">It is prohibited to enter the territory of the administrative complex of the RA Ministry of </w:t>
      </w:r>
      <w:proofErr w:type="spellStart"/>
      <w:r w:rsidRPr="00B85B4C">
        <w:rPr>
          <w:rFonts w:ascii="Sylfaen" w:hAnsi="Sylfaen"/>
          <w:b/>
          <w:i/>
          <w:color w:val="FF0000"/>
          <w:szCs w:val="20"/>
        </w:rPr>
        <w:t>Defense</w:t>
      </w:r>
      <w:proofErr w:type="spellEnd"/>
      <w:r w:rsidRPr="00B85B4C">
        <w:rPr>
          <w:rFonts w:ascii="Sylfaen" w:hAnsi="Sylfaen"/>
          <w:b/>
          <w:i/>
          <w:color w:val="FF0000"/>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BB10BA" w:rsidRPr="00D82833" w:rsidRDefault="00BB10BA" w:rsidP="00BB10BA">
      <w:pPr>
        <w:spacing w:line="360" w:lineRule="auto"/>
        <w:ind w:firstLine="567"/>
        <w:jc w:val="both"/>
        <w:rPr>
          <w:rFonts w:ascii="GHEA Grapalat" w:hAnsi="GHEA Grapalat"/>
          <w:b/>
          <w:i/>
          <w:color w:val="00B050"/>
        </w:rPr>
      </w:pPr>
      <w:r w:rsidRPr="00D82833">
        <w:rPr>
          <w:rFonts w:ascii="GHEA Grapalat" w:hAnsi="GHEA Grapalat"/>
          <w:b/>
          <w:i/>
          <w:color w:val="00B050"/>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sidRPr="00DA7C29">
        <w:rPr>
          <w:rFonts w:ascii="GHEA Grapalat" w:hAnsi="GHEA Grapalat"/>
          <w:b/>
          <w:i/>
          <w:color w:val="FF0000"/>
        </w:rPr>
        <w:t>1</w:t>
      </w:r>
      <w:r w:rsidR="00601B2A">
        <w:rPr>
          <w:rFonts w:ascii="GHEA Grapalat" w:hAnsi="GHEA Grapalat"/>
          <w:b/>
          <w:i/>
          <w:color w:val="FF0000"/>
        </w:rPr>
        <w:t>5</w:t>
      </w:r>
      <w:r w:rsidR="007203CA" w:rsidRPr="00DA7C29">
        <w:rPr>
          <w:rFonts w:ascii="GHEA Grapalat" w:hAnsi="GHEA Grapalat"/>
          <w:b/>
          <w:i/>
          <w:color w:val="FF0000"/>
        </w:rPr>
        <w:t>:</w:t>
      </w:r>
      <w:r w:rsidR="000E0066">
        <w:rPr>
          <w:rFonts w:ascii="GHEA Grapalat" w:hAnsi="GHEA Grapalat"/>
          <w:b/>
          <w:i/>
          <w:color w:val="FF0000"/>
        </w:rPr>
        <w:t>0</w:t>
      </w:r>
      <w:r w:rsidR="00CB316D" w:rsidRPr="00DA7C29">
        <w:rPr>
          <w:rFonts w:ascii="GHEA Grapalat" w:hAnsi="GHEA Grapalat"/>
          <w:b/>
          <w:i/>
          <w:color w:val="FF0000"/>
          <w:lang w:val="en-US"/>
        </w:rPr>
        <w:t>0</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380F6D">
        <w:rPr>
          <w:rFonts w:ascii="GHEA Grapalat" w:hAnsi="GHEA Grapalat"/>
          <w:b/>
          <w:i/>
          <w:color w:val="FF0000"/>
        </w:rPr>
        <w:t>2</w:t>
      </w:r>
      <w:r w:rsidR="000E0066">
        <w:rPr>
          <w:rFonts w:ascii="GHEA Grapalat" w:hAnsi="GHEA Grapalat"/>
          <w:b/>
          <w:i/>
          <w:color w:val="FF0000"/>
        </w:rPr>
        <w:t>3</w:t>
      </w:r>
      <w:r w:rsidR="008C55F4" w:rsidRPr="00DA7C29">
        <w:rPr>
          <w:rFonts w:ascii="GHEA Grapalat" w:hAnsi="GHEA Grapalat"/>
          <w:b/>
          <w:i/>
          <w:color w:val="FF0000"/>
        </w:rPr>
        <w:t>.</w:t>
      </w:r>
      <w:r w:rsidR="00BB1E09">
        <w:rPr>
          <w:rFonts w:ascii="GHEA Grapalat" w:hAnsi="GHEA Grapalat"/>
          <w:b/>
          <w:i/>
          <w:color w:val="FF0000"/>
        </w:rPr>
        <w:t>0</w:t>
      </w:r>
      <w:r w:rsidR="000E0066">
        <w:rPr>
          <w:rFonts w:ascii="GHEA Grapalat" w:hAnsi="GHEA Grapalat"/>
          <w:b/>
          <w:i/>
          <w:color w:val="FF0000"/>
        </w:rPr>
        <w:t>3</w:t>
      </w:r>
      <w:bookmarkStart w:id="0" w:name="_GoBack"/>
      <w:bookmarkEnd w:id="0"/>
      <w:r w:rsidR="007203CA" w:rsidRPr="00DA7C29">
        <w:rPr>
          <w:rFonts w:ascii="GHEA Grapalat" w:hAnsi="GHEA Grapalat"/>
          <w:b/>
          <w:i/>
          <w:color w:val="FF0000"/>
        </w:rPr>
        <w:t>.</w:t>
      </w:r>
      <w:r w:rsidR="00083E5D">
        <w:rPr>
          <w:rFonts w:ascii="GHEA Grapalat" w:hAnsi="GHEA Grapalat"/>
          <w:b/>
          <w:i/>
          <w:color w:val="FF0000"/>
        </w:rPr>
        <w:t>202</w:t>
      </w:r>
      <w:r w:rsidR="00380F6D">
        <w:rPr>
          <w:rFonts w:ascii="GHEA Grapalat" w:hAnsi="GHEA Grapalat"/>
          <w:b/>
          <w:i/>
          <w:color w:val="FF0000"/>
        </w:rPr>
        <w:t>4</w:t>
      </w:r>
      <w:r w:rsidR="007203CA" w:rsidRPr="00DA7C29">
        <w:rPr>
          <w:rFonts w:ascii="GHEA Grapalat" w:hAnsi="GHEA Grapalat"/>
          <w:b/>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 xml:space="preserve">ed bidders specified in the application, indicating the procedure </w:t>
      </w:r>
      <w:r w:rsidRPr="00994902">
        <w:rPr>
          <w:rFonts w:ascii="GHEA Grapalat" w:hAnsi="GHEA Grapalat"/>
        </w:rPr>
        <w:lastRenderedPageBreak/>
        <w:t>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w:t>
      </w:r>
      <w:r w:rsidR="00E00653">
        <w:rPr>
          <w:rFonts w:ascii="GHEA Grapalat" w:hAnsi="GHEA Grapalat"/>
        </w:rPr>
        <w:t>urgent closed targeted tender</w:t>
      </w:r>
      <w:r w:rsidR="00151D9A" w:rsidRPr="00994902">
        <w:rPr>
          <w:rFonts w:ascii="GHEA Grapalat" w:hAnsi="GHEA Grapalat"/>
        </w:rPr>
        <w:t xml:space="preserve"> </w:t>
      </w:r>
      <w:r w:rsidR="0009597A" w:rsidRPr="00994902">
        <w:rPr>
          <w:rFonts w:ascii="GHEA Grapalat" w:hAnsi="GHEA Grapalat"/>
        </w:rPr>
        <w:t>shall be calculated from the day following the expiry of the time limit prescribed by the same point.</w:t>
      </w:r>
    </w:p>
    <w:p w:rsidR="002C5B48" w:rsidRPr="00C956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9564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rsidR="00287DAF" w:rsidRPr="00C9564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1) </w:t>
      </w:r>
      <w:proofErr w:type="gramStart"/>
      <w:r w:rsidRPr="00C9564E">
        <w:rPr>
          <w:rFonts w:ascii="GHEA Grapalat" w:hAnsi="GHEA Grapalat" w:cs="Times New Roman"/>
          <w:sz w:val="24"/>
          <w:lang w:val="en-GB" w:eastAsia="en-GB"/>
        </w:rPr>
        <w:t>an</w:t>
      </w:r>
      <w:proofErr w:type="gramEnd"/>
      <w:r w:rsidRPr="00C9564E">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9564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9564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lastRenderedPageBreak/>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DA7C29" w:rsidRDefault="008C3A9A" w:rsidP="00BB1E09">
      <w:pPr>
        <w:pStyle w:val="FootnoteText"/>
        <w:jc w:val="right"/>
        <w:rPr>
          <w:rFonts w:ascii="GHEA Grapalat" w:hAnsi="GHEA Grapalat"/>
        </w:rPr>
      </w:pPr>
      <w:r w:rsidRPr="0037225B">
        <w:rPr>
          <w:rFonts w:ascii="GHEA Grapalat" w:hAnsi="GHEA Grapalat"/>
          <w:sz w:val="24"/>
        </w:rPr>
        <w:br w:type="page"/>
      </w:r>
    </w:p>
    <w:p w:rsidR="00BB1E09" w:rsidRPr="00380F6D" w:rsidRDefault="00BB1E09" w:rsidP="00BB1E09">
      <w:pPr>
        <w:pStyle w:val="norm"/>
        <w:spacing w:after="160" w:line="360" w:lineRule="auto"/>
        <w:ind w:firstLine="284"/>
        <w:jc w:val="right"/>
        <w:rPr>
          <w:rFonts w:ascii="GHEA Grapalat" w:hAnsi="GHEA Grapalat" w:cs="Arial"/>
          <w:szCs w:val="18"/>
        </w:rPr>
      </w:pPr>
      <w:r w:rsidRPr="00380F6D">
        <w:rPr>
          <w:rFonts w:ascii="GHEA Grapalat" w:hAnsi="GHEA Grapalat"/>
        </w:rPr>
        <w:lastRenderedPageBreak/>
        <w:t>Annex 1</w:t>
      </w:r>
    </w:p>
    <w:p w:rsidR="00BB1E09" w:rsidRPr="00380F6D" w:rsidRDefault="00BB1E09" w:rsidP="00BB1E09">
      <w:pPr>
        <w:pStyle w:val="BodyTextIndent3"/>
        <w:spacing w:after="160"/>
        <w:jc w:val="right"/>
        <w:rPr>
          <w:rFonts w:ascii="GHEA Grapalat" w:hAnsi="GHEA Grapalat" w:cs="Sylfaen"/>
          <w:sz w:val="22"/>
          <w:szCs w:val="18"/>
        </w:rPr>
      </w:pPr>
      <w:proofErr w:type="gramStart"/>
      <w:r w:rsidRPr="00380F6D">
        <w:rPr>
          <w:rFonts w:ascii="GHEA Grapalat" w:hAnsi="GHEA Grapalat"/>
          <w:sz w:val="22"/>
        </w:rPr>
        <w:t>to</w:t>
      </w:r>
      <w:proofErr w:type="gramEnd"/>
      <w:r w:rsidRPr="00380F6D">
        <w:rPr>
          <w:rFonts w:ascii="GHEA Grapalat" w:hAnsi="GHEA Grapalat"/>
          <w:sz w:val="22"/>
        </w:rPr>
        <w:t xml:space="preserve"> the notice on the prequalification procedure </w:t>
      </w:r>
    </w:p>
    <w:p w:rsidR="00BB1E09" w:rsidRPr="00380F6D" w:rsidRDefault="00BB1E09" w:rsidP="00BB1E09">
      <w:pPr>
        <w:pStyle w:val="BodyTextIndent3"/>
        <w:spacing w:after="160"/>
        <w:jc w:val="right"/>
        <w:rPr>
          <w:rFonts w:ascii="GHEA Grapalat" w:hAnsi="GHEA Grapalat" w:cs="Sylfaen"/>
          <w:sz w:val="22"/>
          <w:szCs w:val="18"/>
        </w:rPr>
      </w:pPr>
      <w:proofErr w:type="gramStart"/>
      <w:r w:rsidRPr="00380F6D">
        <w:rPr>
          <w:rFonts w:ascii="GHEA Grapalat" w:hAnsi="GHEA Grapalat"/>
          <w:sz w:val="22"/>
        </w:rPr>
        <w:t>of</w:t>
      </w:r>
      <w:proofErr w:type="gramEnd"/>
      <w:r w:rsidRPr="00380F6D">
        <w:rPr>
          <w:rFonts w:ascii="GHEA Grapalat" w:hAnsi="GHEA Grapalat"/>
          <w:sz w:val="22"/>
        </w:rPr>
        <w:t xml:space="preserve"> the </w:t>
      </w:r>
      <w:r w:rsidR="00E00653" w:rsidRPr="00380F6D">
        <w:rPr>
          <w:rFonts w:ascii="GHEA Grapalat" w:hAnsi="GHEA Grapalat"/>
          <w:b/>
          <w:sz w:val="22"/>
        </w:rPr>
        <w:t>urgent closed targeted tender</w:t>
      </w:r>
      <w:r w:rsidRPr="00380F6D">
        <w:rPr>
          <w:rFonts w:ascii="GHEA Grapalat" w:hAnsi="GHEA Grapalat"/>
          <w:sz w:val="22"/>
        </w:rPr>
        <w:t xml:space="preserve"> under the code </w:t>
      </w:r>
      <w:r w:rsidRPr="00380F6D">
        <w:rPr>
          <w:rFonts w:ascii="GHEA Grapalat" w:hAnsi="GHEA Grapalat"/>
          <w:i/>
          <w:color w:val="FF0000"/>
          <w:sz w:val="22"/>
        </w:rPr>
        <w:t>HH PN-</w:t>
      </w:r>
      <w:r w:rsidR="00E866D0" w:rsidRPr="00380F6D">
        <w:rPr>
          <w:rFonts w:ascii="GHEA Grapalat" w:hAnsi="GHEA Grapalat"/>
          <w:i/>
          <w:color w:val="FF0000"/>
          <w:sz w:val="22"/>
        </w:rPr>
        <w:t>HPNMKHTSDZB-</w:t>
      </w:r>
      <w:r w:rsidR="000E0066">
        <w:rPr>
          <w:rFonts w:ascii="GHEA Grapalat" w:hAnsi="GHEA Grapalat"/>
          <w:i/>
          <w:color w:val="FF0000"/>
          <w:sz w:val="22"/>
        </w:rPr>
        <w:t>24-10/7</w:t>
      </w:r>
    </w:p>
    <w:p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rsidR="00BB1E09" w:rsidRPr="0037225B" w:rsidRDefault="00BB1E09" w:rsidP="00BB1E09">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 </w:t>
      </w:r>
    </w:p>
    <w:p w:rsidR="00BB1E09" w:rsidRPr="000964C8" w:rsidRDefault="00BB1E09" w:rsidP="00BB1E09">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w:t>
      </w:r>
      <w:r w:rsidR="00E00653" w:rsidRPr="00E55F55">
        <w:rPr>
          <w:rFonts w:ascii="GHEA Grapalat" w:hAnsi="GHEA Grapalat"/>
          <w:b/>
        </w:rPr>
        <w:t>urgent closed targeted</w:t>
      </w:r>
      <w:r w:rsidR="00E00653">
        <w:rPr>
          <w:rFonts w:ascii="GHEA Grapalat" w:hAnsi="GHEA Grapalat"/>
        </w:rPr>
        <w:t xml:space="preserve"> tender</w:t>
      </w:r>
      <w:r w:rsidRPr="0037225B">
        <w:rPr>
          <w:rFonts w:ascii="GHEA Grapalat" w:hAnsi="GHEA Grapalat"/>
        </w:rPr>
        <w:t xml:space="preserve">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w:t>
      </w:r>
      <w:r w:rsidR="00E866D0">
        <w:rPr>
          <w:rFonts w:ascii="GHEA Grapalat" w:hAnsi="GHEA Grapalat"/>
          <w:i/>
          <w:color w:val="FF0000"/>
          <w:szCs w:val="20"/>
        </w:rPr>
        <w:t>HPNMKHTSDZB-</w:t>
      </w:r>
      <w:r w:rsidR="000E0066">
        <w:rPr>
          <w:rFonts w:ascii="GHEA Grapalat" w:hAnsi="GHEA Grapalat"/>
          <w:i/>
          <w:color w:val="FF0000"/>
          <w:szCs w:val="20"/>
        </w:rPr>
        <w:t>24-10/7</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 xml:space="preserve">by the Ministry of </w:t>
      </w:r>
      <w:proofErr w:type="spellStart"/>
      <w:r w:rsidRPr="00680FEE">
        <w:rPr>
          <w:rFonts w:ascii="GHEA Grapalat" w:hAnsi="GHEA Grapalat"/>
        </w:rPr>
        <w:t>Defense</w:t>
      </w:r>
      <w:proofErr w:type="spellEnd"/>
      <w:r w:rsidRPr="00680FEE">
        <w:rPr>
          <w:rFonts w:ascii="GHEA Grapalat" w:hAnsi="GHEA Grapalat"/>
        </w:rPr>
        <w:t xml:space="preserv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rsidR="00BB1E09" w:rsidRPr="0037225B" w:rsidRDefault="00BB1E09" w:rsidP="00BB1E09">
      <w:pPr>
        <w:spacing w:after="160" w:line="360" w:lineRule="auto"/>
        <w:jc w:val="both"/>
        <w:rPr>
          <w:rFonts w:ascii="GHEA Grapalat" w:hAnsi="GHEA Grapalat" w:cs="Sylfaen"/>
          <w:szCs w:val="20"/>
        </w:rPr>
      </w:pPr>
    </w:p>
    <w:p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BB1E09" w:rsidRPr="005A55DA"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w:t>
      </w:r>
      <w:r>
        <w:rPr>
          <w:rFonts w:ascii="GHEA Grapalat" w:hAnsi="GHEA Grapalat"/>
          <w:sz w:val="16"/>
          <w:szCs w:val="16"/>
        </w:rPr>
        <w:tab/>
      </w:r>
      <w:r w:rsidRPr="005A55DA">
        <w:rPr>
          <w:rFonts w:ascii="GHEA Grapalat" w:hAnsi="GHEA Grapalat"/>
          <w:sz w:val="16"/>
          <w:szCs w:val="16"/>
        </w:rPr>
        <w:t>tax identification number</w:t>
      </w:r>
    </w:p>
    <w:p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BB1E09" w:rsidRPr="009D3D22" w:rsidRDefault="00BB1E09" w:rsidP="00BB1E09">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Pr>
          <w:rFonts w:ascii="GHEA Grapalat" w:hAnsi="GHEA Grapalat"/>
          <w:sz w:val="16"/>
          <w:szCs w:val="16"/>
        </w:rPr>
        <w:tab/>
      </w:r>
      <w:r w:rsidRPr="009D3D22">
        <w:rPr>
          <w:rFonts w:ascii="GHEA Grapalat" w:hAnsi="GHEA Grapalat"/>
          <w:sz w:val="16"/>
          <w:szCs w:val="16"/>
        </w:rPr>
        <w:t>e-mail address</w:t>
      </w:r>
    </w:p>
    <w:p w:rsidR="00BB1E09" w:rsidRPr="0037225B" w:rsidRDefault="00BB1E09" w:rsidP="00BB1E09">
      <w:pPr>
        <w:spacing w:after="160" w:line="360" w:lineRule="auto"/>
        <w:jc w:val="right"/>
        <w:rPr>
          <w:rFonts w:ascii="GHEA Grapalat" w:hAnsi="GHEA Grapalat"/>
          <w:szCs w:val="10"/>
        </w:rPr>
      </w:pPr>
    </w:p>
    <w:p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BB1E09" w:rsidRPr="009D3D22"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BB1E09" w:rsidRDefault="00BB1E09" w:rsidP="00BB1E09">
      <w:pPr>
        <w:spacing w:after="160" w:line="360" w:lineRule="auto"/>
        <w:jc w:val="right"/>
        <w:rPr>
          <w:rFonts w:ascii="GHEA Grapalat" w:hAnsi="GHEA Grapalat"/>
        </w:rPr>
      </w:pPr>
    </w:p>
    <w:p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rsidR="00BB1E09" w:rsidRPr="0037225B" w:rsidRDefault="00BB1E09" w:rsidP="00BB1E09">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BB1E09" w:rsidRPr="00A13E75" w:rsidRDefault="00BB1E09" w:rsidP="00E0397A">
      <w:pPr>
        <w:pStyle w:val="norm"/>
        <w:spacing w:after="160" w:line="240" w:lineRule="auto"/>
        <w:ind w:firstLine="284"/>
        <w:jc w:val="right"/>
        <w:rPr>
          <w:rFonts w:ascii="GHEA Grapalat" w:hAnsi="GHEA Grapalat" w:cs="Arial"/>
          <w:szCs w:val="18"/>
        </w:rPr>
      </w:pPr>
      <w:r w:rsidRPr="00A13E75">
        <w:rPr>
          <w:rFonts w:ascii="GHEA Grapalat" w:hAnsi="GHEA Grapalat"/>
        </w:rPr>
        <w:lastRenderedPageBreak/>
        <w:t>Annex 2</w:t>
      </w:r>
    </w:p>
    <w:p w:rsidR="00BB1E09" w:rsidRPr="00A13E75" w:rsidRDefault="00BB1E09" w:rsidP="00E0397A">
      <w:pPr>
        <w:pStyle w:val="BodyTextIndent3"/>
        <w:spacing w:after="160" w:line="240" w:lineRule="auto"/>
        <w:jc w:val="right"/>
        <w:rPr>
          <w:rFonts w:ascii="GHEA Grapalat" w:hAnsi="GHEA Grapalat" w:cs="Sylfaen"/>
          <w:sz w:val="22"/>
          <w:szCs w:val="18"/>
        </w:rPr>
      </w:pPr>
      <w:proofErr w:type="gramStart"/>
      <w:r w:rsidRPr="00A13E75">
        <w:rPr>
          <w:rFonts w:ascii="GHEA Grapalat" w:hAnsi="GHEA Grapalat"/>
          <w:sz w:val="22"/>
        </w:rPr>
        <w:t>to</w:t>
      </w:r>
      <w:proofErr w:type="gramEnd"/>
      <w:r w:rsidRPr="00A13E75">
        <w:rPr>
          <w:rFonts w:ascii="GHEA Grapalat" w:hAnsi="GHEA Grapalat"/>
          <w:sz w:val="22"/>
        </w:rPr>
        <w:t xml:space="preserve"> the notice on the prequalification procedure</w:t>
      </w:r>
    </w:p>
    <w:p w:rsidR="00BB1E09" w:rsidRPr="00A13E75" w:rsidRDefault="00BB1E09" w:rsidP="00E0397A">
      <w:pPr>
        <w:pStyle w:val="BodyTextIndent3"/>
        <w:spacing w:after="160" w:line="240" w:lineRule="auto"/>
        <w:jc w:val="right"/>
        <w:rPr>
          <w:rFonts w:ascii="GHEA Grapalat" w:hAnsi="GHEA Grapalat" w:cs="Sylfaen"/>
          <w:sz w:val="22"/>
          <w:szCs w:val="18"/>
        </w:rPr>
      </w:pPr>
      <w:proofErr w:type="gramStart"/>
      <w:r w:rsidRPr="00A13E75">
        <w:rPr>
          <w:rFonts w:ascii="GHEA Grapalat" w:hAnsi="GHEA Grapalat"/>
          <w:sz w:val="22"/>
        </w:rPr>
        <w:t>of</w:t>
      </w:r>
      <w:proofErr w:type="gramEnd"/>
      <w:r w:rsidRPr="00A13E75">
        <w:rPr>
          <w:rFonts w:ascii="GHEA Grapalat" w:hAnsi="GHEA Grapalat"/>
          <w:sz w:val="22"/>
        </w:rPr>
        <w:t xml:space="preserve"> the </w:t>
      </w:r>
      <w:r w:rsidR="00E00653" w:rsidRPr="00E55F55">
        <w:rPr>
          <w:rFonts w:ascii="GHEA Grapalat" w:hAnsi="GHEA Grapalat"/>
          <w:b/>
          <w:sz w:val="22"/>
        </w:rPr>
        <w:t>urgent closed targeted tender</w:t>
      </w:r>
      <w:r w:rsidRPr="00A13E75">
        <w:rPr>
          <w:rFonts w:ascii="GHEA Grapalat" w:hAnsi="GHEA Grapalat"/>
          <w:sz w:val="22"/>
        </w:rPr>
        <w:t xml:space="preserve"> under the code </w:t>
      </w:r>
      <w:r w:rsidRPr="00A13E75">
        <w:rPr>
          <w:rFonts w:ascii="GHEA Grapalat" w:hAnsi="GHEA Grapalat"/>
          <w:i/>
          <w:color w:val="FF0000"/>
          <w:sz w:val="22"/>
        </w:rPr>
        <w:t>HH PN-</w:t>
      </w:r>
      <w:r w:rsidR="00E866D0" w:rsidRPr="00A13E75">
        <w:rPr>
          <w:rFonts w:ascii="GHEA Grapalat" w:hAnsi="GHEA Grapalat"/>
          <w:i/>
          <w:color w:val="FF0000"/>
          <w:sz w:val="22"/>
        </w:rPr>
        <w:t>HPNMKHTSDZB-</w:t>
      </w:r>
      <w:r w:rsidR="000E0066">
        <w:rPr>
          <w:rFonts w:ascii="GHEA Grapalat" w:hAnsi="GHEA Grapalat"/>
          <w:i/>
          <w:color w:val="FF0000"/>
          <w:sz w:val="22"/>
        </w:rPr>
        <w:t>24-10/7</w:t>
      </w:r>
    </w:p>
    <w:p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rsidR="00BB1E09" w:rsidRPr="0037225B" w:rsidRDefault="00BB1E09" w:rsidP="00E0397A">
      <w:pPr>
        <w:spacing w:after="160"/>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criterion "Compliance of professional activities with activities provided for by the contract"</w:t>
      </w:r>
    </w:p>
    <w:p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BB1E09" w:rsidRPr="00A74C72" w:rsidRDefault="00BB1E09" w:rsidP="00BB1E09">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BB1E09" w:rsidRDefault="00BB1E09" w:rsidP="00BB1E09">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rsidTr="00A523AD">
        <w:tc>
          <w:tcPr>
            <w:tcW w:w="9286" w:type="dxa"/>
            <w:gridSpan w:val="3"/>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rsidTr="00A523AD">
        <w:tc>
          <w:tcPr>
            <w:tcW w:w="9286" w:type="dxa"/>
            <w:gridSpan w:val="3"/>
          </w:tcPr>
          <w:p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E0397A">
        <w:trPr>
          <w:trHeight w:val="102"/>
        </w:trPr>
        <w:tc>
          <w:tcPr>
            <w:tcW w:w="9286" w:type="dxa"/>
            <w:gridSpan w:val="3"/>
          </w:tcPr>
          <w:p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bl>
    <w:p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rsidTr="00E0397A">
        <w:trPr>
          <w:trHeight w:val="345"/>
        </w:trPr>
        <w:tc>
          <w:tcPr>
            <w:tcW w:w="9286" w:type="dxa"/>
            <w:gridSpan w:val="3"/>
          </w:tcPr>
          <w:p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r w:rsidR="00BB1E09" w:rsidRPr="0037225B" w:rsidTr="00A523AD">
        <w:tc>
          <w:tcPr>
            <w:tcW w:w="1352" w:type="dxa"/>
          </w:tcPr>
          <w:p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rsidR="00BB1E09" w:rsidRPr="0037225B" w:rsidRDefault="00BB1E09" w:rsidP="00A523AD">
            <w:pPr>
              <w:spacing w:after="120"/>
              <w:jc w:val="center"/>
              <w:rPr>
                <w:rFonts w:ascii="GHEA Grapalat" w:hAnsi="GHEA Grapalat" w:cs="Sylfaen"/>
                <w:szCs w:val="20"/>
              </w:rPr>
            </w:pPr>
          </w:p>
        </w:tc>
        <w:tc>
          <w:tcPr>
            <w:tcW w:w="5557" w:type="dxa"/>
          </w:tcPr>
          <w:p w:rsidR="00BB1E09" w:rsidRPr="0037225B" w:rsidRDefault="00BB1E09" w:rsidP="00A523AD">
            <w:pPr>
              <w:spacing w:after="120"/>
              <w:jc w:val="center"/>
              <w:rPr>
                <w:rFonts w:ascii="GHEA Grapalat" w:hAnsi="GHEA Grapalat" w:cs="Sylfaen"/>
                <w:szCs w:val="20"/>
              </w:rPr>
            </w:pPr>
          </w:p>
        </w:tc>
      </w:tr>
    </w:tbl>
    <w:p w:rsidR="00BB1E09" w:rsidRDefault="00BB1E09" w:rsidP="00BB1E09">
      <w:pPr>
        <w:spacing w:after="160" w:line="360" w:lineRule="auto"/>
        <w:ind w:firstLine="720"/>
        <w:jc w:val="both"/>
        <w:rPr>
          <w:rFonts w:ascii="GHEA Grapalat" w:hAnsi="GHEA Grapalat" w:cs="Sylfaen"/>
          <w:szCs w:val="20"/>
        </w:rPr>
      </w:pPr>
    </w:p>
    <w:p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BB1E09" w:rsidRDefault="00BB1E09" w:rsidP="00E0397A">
      <w:pPr>
        <w:tabs>
          <w:tab w:val="left" w:pos="7371"/>
        </w:tabs>
        <w:spacing w:after="160" w:line="360" w:lineRule="auto"/>
        <w:ind w:left="1134"/>
        <w:jc w:val="both"/>
        <w:rPr>
          <w:rFonts w:ascii="GHEA Grapalat" w:hAnsi="GHEA Grapalat"/>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85" w:rsidRDefault="001B1885">
      <w:r>
        <w:separator/>
      </w:r>
    </w:p>
  </w:endnote>
  <w:endnote w:type="continuationSeparator" w:id="0">
    <w:p w:rsidR="001B1885" w:rsidRDefault="001B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E0066">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85" w:rsidRDefault="001B1885">
      <w:r>
        <w:separator/>
      </w:r>
    </w:p>
  </w:footnote>
  <w:footnote w:type="continuationSeparator" w:id="0">
    <w:p w:rsidR="001B1885" w:rsidRDefault="001B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52C9B"/>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0066"/>
    <w:rsid w:val="000E2CA8"/>
    <w:rsid w:val="000E3435"/>
    <w:rsid w:val="000E373D"/>
    <w:rsid w:val="000E57EF"/>
    <w:rsid w:val="001131AB"/>
    <w:rsid w:val="00130EB3"/>
    <w:rsid w:val="00132C6E"/>
    <w:rsid w:val="0013346E"/>
    <w:rsid w:val="00150455"/>
    <w:rsid w:val="00151D9A"/>
    <w:rsid w:val="00151EDD"/>
    <w:rsid w:val="001549AD"/>
    <w:rsid w:val="001556D0"/>
    <w:rsid w:val="001706C2"/>
    <w:rsid w:val="00172513"/>
    <w:rsid w:val="0018648E"/>
    <w:rsid w:val="00190919"/>
    <w:rsid w:val="001946A7"/>
    <w:rsid w:val="001A53C8"/>
    <w:rsid w:val="001B1885"/>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0F6D"/>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1B2A"/>
    <w:rsid w:val="00603541"/>
    <w:rsid w:val="00615570"/>
    <w:rsid w:val="006212B6"/>
    <w:rsid w:val="0062167A"/>
    <w:rsid w:val="00622308"/>
    <w:rsid w:val="00633089"/>
    <w:rsid w:val="00652BFF"/>
    <w:rsid w:val="00662D49"/>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769E9"/>
    <w:rsid w:val="00794D62"/>
    <w:rsid w:val="00797ABC"/>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43926"/>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65574"/>
    <w:rsid w:val="00970A35"/>
    <w:rsid w:val="009732C1"/>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13E75"/>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3CC2"/>
    <w:rsid w:val="00AB6D42"/>
    <w:rsid w:val="00AB7AF2"/>
    <w:rsid w:val="00AC0850"/>
    <w:rsid w:val="00AD399F"/>
    <w:rsid w:val="00AE0A65"/>
    <w:rsid w:val="00AE31D8"/>
    <w:rsid w:val="00AF618A"/>
    <w:rsid w:val="00B00C12"/>
    <w:rsid w:val="00B041FF"/>
    <w:rsid w:val="00B06AF8"/>
    <w:rsid w:val="00B139AB"/>
    <w:rsid w:val="00B33F41"/>
    <w:rsid w:val="00B42093"/>
    <w:rsid w:val="00B46A78"/>
    <w:rsid w:val="00B51106"/>
    <w:rsid w:val="00B51D48"/>
    <w:rsid w:val="00B60A8B"/>
    <w:rsid w:val="00B738E7"/>
    <w:rsid w:val="00BB10BA"/>
    <w:rsid w:val="00BB1E09"/>
    <w:rsid w:val="00BB4F8A"/>
    <w:rsid w:val="00BB7EE0"/>
    <w:rsid w:val="00BC29E5"/>
    <w:rsid w:val="00BE1C66"/>
    <w:rsid w:val="00BE22C7"/>
    <w:rsid w:val="00BE537F"/>
    <w:rsid w:val="00BF4684"/>
    <w:rsid w:val="00C0668D"/>
    <w:rsid w:val="00C13EE9"/>
    <w:rsid w:val="00C2716F"/>
    <w:rsid w:val="00C27288"/>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D3E6F"/>
    <w:rsid w:val="00DF3F27"/>
    <w:rsid w:val="00DF60CE"/>
    <w:rsid w:val="00DF6FE4"/>
    <w:rsid w:val="00E00653"/>
    <w:rsid w:val="00E00A3A"/>
    <w:rsid w:val="00E01057"/>
    <w:rsid w:val="00E0397A"/>
    <w:rsid w:val="00E15217"/>
    <w:rsid w:val="00E15F0D"/>
    <w:rsid w:val="00E37DF9"/>
    <w:rsid w:val="00E406F3"/>
    <w:rsid w:val="00E47A1D"/>
    <w:rsid w:val="00E55F55"/>
    <w:rsid w:val="00E6212A"/>
    <w:rsid w:val="00E62B66"/>
    <w:rsid w:val="00E65CD3"/>
    <w:rsid w:val="00E672F0"/>
    <w:rsid w:val="00E67B73"/>
    <w:rsid w:val="00E701CC"/>
    <w:rsid w:val="00E71D0E"/>
    <w:rsid w:val="00E804F2"/>
    <w:rsid w:val="00E82964"/>
    <w:rsid w:val="00E83DE8"/>
    <w:rsid w:val="00E858E4"/>
    <w:rsid w:val="00E862A2"/>
    <w:rsid w:val="00E8653A"/>
    <w:rsid w:val="00E866D0"/>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41B3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EA57-EB63-4FF9-9737-7FAC2D57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212</cp:revision>
  <cp:lastPrinted>2017-05-26T08:33:00Z</cp:lastPrinted>
  <dcterms:created xsi:type="dcterms:W3CDTF">2017-09-25T10:08:00Z</dcterms:created>
  <dcterms:modified xsi:type="dcterms:W3CDTF">2024-03-15T13:40:00Z</dcterms:modified>
</cp:coreProperties>
</file>